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B4D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会计学专业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会计学原理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780149D4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45418F0D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   大学英语、高等数学。</w:t>
      </w:r>
    </w:p>
    <w:p w14:paraId="4D755C00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3FAD5F84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50B3F0E8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12797650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大纲参考陈国辉、迟旭升主编的教材《基础会计》（第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版）进行编写。</w:t>
      </w:r>
    </w:p>
    <w:p w14:paraId="17081E5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5B5B147C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7B79B297"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（一）总论</w:t>
      </w:r>
    </w:p>
    <w:p w14:paraId="59E79DD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（1）会计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的含义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（2）会计职能与目标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任务与作用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会计方法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B159A0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（1）会计的含义；（2）会计基本职能的特征及相互关系；（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）会计目标的基本观点；（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）会计核算方法。</w:t>
      </w:r>
    </w:p>
    <w:p w14:paraId="1E433A03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（二）会计要素与会计等式</w:t>
      </w:r>
    </w:p>
    <w:p w14:paraId="42D4710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（1）会计对象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的含义；（2）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的含义、特征和确认条件；（3）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会计等式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55F01E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资金运动的含义；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会计要素及会计等式的内容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0912416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能分析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经济业务的发生对会计等式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各会计要素的影响。。</w:t>
      </w:r>
    </w:p>
    <w:p w14:paraId="1FBE0F70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（三）会计核算基础</w:t>
      </w:r>
    </w:p>
    <w:p w14:paraId="3ECAB30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会计假设的含义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会计信息质量要求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3C744B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会计信息质量要求的体现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权责发生制与收付实现制；（3）会计要素的确认与计量及其要求。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AE226CE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能运用权责发生制和收付实现制对企业发生的收入、费用及利润进行简单的分析和计算。</w:t>
      </w:r>
    </w:p>
    <w:p w14:paraId="4DA6C029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（四）账户与复式记账</w:t>
      </w:r>
    </w:p>
    <w:p w14:paraId="3AA119B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会计科目与会计账户的含义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；（2）复式记账法的概念；（3）账户的设置原则。</w:t>
      </w:r>
    </w:p>
    <w:p w14:paraId="4D90112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（1）账户的结构；（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）账户与会计科目的关系；（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）会计科目的分类及常用会计科目；（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）借贷记账法的基本内容；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总分类账户和明细分类账户平行登记。</w:t>
      </w:r>
    </w:p>
    <w:p w14:paraId="6BA9DD88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采用借贷记账法编制会计分录、编制试算平衡表。</w:t>
      </w:r>
    </w:p>
    <w:p w14:paraId="0874258A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（五）企业主要经济业务的核算</w:t>
      </w:r>
    </w:p>
    <w:p w14:paraId="61D9C632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资金筹集、采购过程、生产过程、销售过程及财务成果形成与利润分配涉及的会计科目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及账户结构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1D88E24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生产企业的主要经济业务内容；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生产企业资金筹集、供应过程、生产过程、销售过程和财务成果形成与分配业务的核算过程中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常见业务会计处理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1A367A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采用借贷记账法对生产企业的各项主要经济业务进行账务处理。</w:t>
      </w:r>
    </w:p>
    <w:p w14:paraId="5AF3E4CA">
      <w:pPr>
        <w:spacing w:line="360" w:lineRule="auto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账户的分类</w:t>
      </w:r>
    </w:p>
    <w:p w14:paraId="70AEE85C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账户的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经济内容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分类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账户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和结构分类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FD736A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2.理解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：（1）基本账户、调整账户、成本账户、损益计算账户的内涵、特征；（2）各种账户之间的内在联系。</w:t>
      </w:r>
    </w:p>
    <w:p w14:paraId="7CE7B433"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运用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：用各类账户登记经济业务。</w:t>
      </w:r>
    </w:p>
    <w:p w14:paraId="57BE16BE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（七）成本的计算</w:t>
      </w:r>
    </w:p>
    <w:p w14:paraId="431DAC40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原材料采购成本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产品生产成本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产品销售成本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3FA4C88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材料采购成本计算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产品成本计算</w:t>
      </w:r>
    </w:p>
    <w:p w14:paraId="247771C2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计算材料采购成本；（2）分配制造费用；（3）计算完工产品和在产品成本。</w:t>
      </w:r>
    </w:p>
    <w:p w14:paraId="73CEE68E">
      <w:pPr>
        <w:spacing w:after="0"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（八）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</w:rPr>
        <w:t>会计凭证</w:t>
      </w:r>
    </w:p>
    <w:p w14:paraId="34B9E52F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（1）会计凭证、原始凭证、记账凭证的概念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原始凭证的分类；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记账凭证的分类。</w:t>
      </w:r>
    </w:p>
    <w:p w14:paraId="0E5BAA07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（1）原始凭证的填制和审核；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记账凭证的填制和审核；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会计凭证的传递和保管。</w:t>
      </w:r>
    </w:p>
    <w:p w14:paraId="6EA0AE0C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填制和审核记账凭证</w:t>
      </w:r>
    </w:p>
    <w:p w14:paraId="7A46E3CB">
      <w:pPr>
        <w:spacing w:after="0" w:line="360" w:lineRule="auto"/>
        <w:jc w:val="center"/>
        <w:rPr>
          <w:rFonts w:hint="default" w:ascii="仿宋" w:hAnsi="仿宋" w:eastAsia="黑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）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</w:rPr>
        <w:t>会计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  <w:lang w:val="en-US" w:eastAsia="zh-CN"/>
        </w:rPr>
        <w:t>账簿</w:t>
      </w:r>
    </w:p>
    <w:p w14:paraId="29C825B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（1）会计账簿的概念；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会计账簿的作用和种类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分类账簿、序时账簿、备查账簿的概念。</w:t>
      </w:r>
    </w:p>
    <w:p w14:paraId="2CCAC4F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（1）账簿的设置要求；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明细分类账的格式和适用账户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账簿登记要求和更正方法；（4）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对账和结账的内容；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账簿的更换与保管。</w:t>
      </w:r>
    </w:p>
    <w:p w14:paraId="491BD57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设置和登记日记账、总账、明细账；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正确使用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错账更正方法。</w:t>
      </w:r>
    </w:p>
    <w:p w14:paraId="6BC8339A">
      <w:pPr>
        <w:spacing w:after="0" w:line="360" w:lineRule="auto"/>
        <w:jc w:val="center"/>
        <w:rPr>
          <w:rFonts w:hint="default" w:ascii="仿宋" w:hAnsi="仿宋" w:eastAsia="黑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）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</w:rPr>
        <w:t>财产清查</w:t>
      </w:r>
    </w:p>
    <w:p w14:paraId="226145D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财产清查的概念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和种类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财产清查方法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C60146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（1）永续盘存制度；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实地盘存制度；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存货计价方法；（4）银行存款余额调节表和未达账项；（5）财产清查结果会计处理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0DC111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期末存货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和本期发出存货成本的计算；银行存款余额调节表的编制；财产清查结果的账务处理。</w:t>
      </w:r>
    </w:p>
    <w:p w14:paraId="54D36519">
      <w:pPr>
        <w:spacing w:after="0" w:line="360" w:lineRule="auto"/>
        <w:jc w:val="center"/>
        <w:rPr>
          <w:rFonts w:hint="default" w:ascii="仿宋" w:hAnsi="仿宋" w:eastAsia="黑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）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</w:rPr>
        <w:t>财产清查</w:t>
      </w:r>
    </w:p>
    <w:p w14:paraId="7D54522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财产清查的概念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和种类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财产清查方法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AC9597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（1）永续盘存制度；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实地盘存制度；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存货计价方法；（4）银行存款余额调节表和未达账项；（5）财产清查结果会计处理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bookmarkEnd w:id="0"/>
    <w:p w14:paraId="2F2A2489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期末存货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成本</w:t>
      </w:r>
      <w:r>
        <w:rPr>
          <w:rFonts w:hint="eastAsia" w:ascii="仿宋" w:hAnsi="仿宋" w:eastAsia="仿宋" w:cs="仿宋"/>
          <w:sz w:val="28"/>
          <w:szCs w:val="28"/>
        </w:rPr>
        <w:t>和本期发出存货成本的计算；银行存款余额调节表的编制；财产清查结果的账务处理。</w:t>
      </w:r>
    </w:p>
    <w:p w14:paraId="22F7DDFC">
      <w:pPr>
        <w:spacing w:after="0"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（十一） 财务报告</w:t>
      </w:r>
    </w:p>
    <w:p w14:paraId="7A93F739">
      <w:pPr>
        <w:spacing w:line="360" w:lineRule="auto"/>
        <w:ind w:firstLine="562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1.识记：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财务报告的含义；（2）财务报告的种类；(3)财务报告的构成;（4）资产负债表、利润表、现金流量表的内容与格式</w:t>
      </w:r>
    </w:p>
    <w:p w14:paraId="4B2FE7FA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2.理解：(1)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资产负债表的编制方法；（2）利润表的编制方法。</w:t>
      </w:r>
    </w:p>
    <w:p w14:paraId="21102772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3.运用：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编制资产负债表和利润表。</w:t>
      </w:r>
    </w:p>
    <w:p w14:paraId="5E13F9C5">
      <w:pPr>
        <w:spacing w:after="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（十二）会计核算组织程序</w:t>
      </w:r>
    </w:p>
    <w:p w14:paraId="64963CCB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1.识记：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计核算组织程序的概念。</w:t>
      </w:r>
    </w:p>
    <w:p w14:paraId="2F9D08B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2.理解：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（1）各种会计核算组织程序的核算步骤和特点、优缺点和适用范围；（2）科目汇总表的编制。</w:t>
      </w:r>
    </w:p>
    <w:p w14:paraId="244F68CD">
      <w:pPr>
        <w:spacing w:after="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（十三）会计软件应用基础</w:t>
      </w:r>
    </w:p>
    <w:p w14:paraId="1A5A041C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1.识记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：会计软件的概念。</w:t>
      </w:r>
    </w:p>
    <w:p w14:paraId="3B0CB5F5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2.理解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：会计软件的功能结构；会计软件的操作流程。</w:t>
      </w:r>
    </w:p>
    <w:p w14:paraId="49C950A0">
      <w:pPr>
        <w:spacing w:after="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（十四）会计工作组织</w:t>
      </w:r>
    </w:p>
    <w:p w14:paraId="038FEB08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1.识记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：会计工作组织的含义与基本要求：（2）会计规范体系的总体构成及其特征；（3）会计法和企业会计准则的主要内容。 </w:t>
      </w:r>
    </w:p>
    <w:p w14:paraId="1B44F8E8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2.理解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：（1）会计职业道德的基本内容；（2）会计岗位责任制。</w:t>
      </w:r>
    </w:p>
    <w:p w14:paraId="1EA494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0BD4077A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5DD96F95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7767E57B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468DE3F0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4F84C633">
      <w:pPr>
        <w:pStyle w:val="14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%，运用约占4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%；</w:t>
      </w:r>
    </w:p>
    <w:p w14:paraId="3E36F9EF">
      <w:pPr>
        <w:pStyle w:val="14"/>
        <w:spacing w:line="360" w:lineRule="auto"/>
        <w:ind w:left="0" w:leftChars="0" w:firstLine="638" w:firstLineChars="228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较易占30%，中等占50%，较难占20%。</w:t>
      </w:r>
    </w:p>
    <w:p w14:paraId="37250329">
      <w:pPr>
        <w:spacing w:line="360" w:lineRule="auto"/>
        <w:ind w:firstLine="48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试题类型有单项选择题、多项选择题、判断题、简答题、计算与业务题等五种形式，其分值分布如下表：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AF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450F5D29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4B69E6B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3F52E6B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BE8BA2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7AD3578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4E4F357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7DFC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6C59C5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72BF6F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4DB87012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单项选择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2509" w:type="dxa"/>
            <w:noWrap w:val="0"/>
            <w:vAlign w:val="center"/>
          </w:tcPr>
          <w:p w14:paraId="4EAEDA5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5AC2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5B8E624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9169E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35046938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多项选择题</w:t>
            </w:r>
          </w:p>
        </w:tc>
        <w:tc>
          <w:tcPr>
            <w:tcW w:w="2509" w:type="dxa"/>
            <w:noWrap w:val="0"/>
            <w:vAlign w:val="center"/>
          </w:tcPr>
          <w:p w14:paraId="76360A7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 w14:paraId="4F76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5F9A234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CAA6EF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0BCF9D11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napToGrid w:val="0"/>
                <w:sz w:val="24"/>
                <w:szCs w:val="24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7F3006FD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6133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2F1948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656F62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743DE0D5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简答题</w:t>
            </w:r>
          </w:p>
        </w:tc>
        <w:tc>
          <w:tcPr>
            <w:tcW w:w="2509" w:type="dxa"/>
            <w:noWrap w:val="0"/>
            <w:vAlign w:val="center"/>
          </w:tcPr>
          <w:p w14:paraId="2F881EBB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4CB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6549F35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CED5D6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909" w:type="dxa"/>
            <w:noWrap w:val="0"/>
            <w:vAlign w:val="center"/>
          </w:tcPr>
          <w:p w14:paraId="1DBD78B0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计算与业务题</w:t>
            </w:r>
          </w:p>
        </w:tc>
        <w:tc>
          <w:tcPr>
            <w:tcW w:w="2509" w:type="dxa"/>
            <w:noWrap w:val="0"/>
            <w:vAlign w:val="center"/>
          </w:tcPr>
          <w:p w14:paraId="74FD2638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</w:tr>
      <w:tr w14:paraId="25B2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5AFB704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7282AF4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57EDB35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</w:t>
            </w:r>
          </w:p>
        </w:tc>
      </w:tr>
    </w:tbl>
    <w:p w14:paraId="16C2A096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536134B1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69A54CD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89CA4F4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31A7DE10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716CB143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陈国辉,迟旭升.基础会计（第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版）[M].大连：东北财经大学出版社,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4,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</w:p>
    <w:p w14:paraId="66394DD0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7FF3BF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陈文铭,陈艳.基础会计习题与案例（第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版）[M].大连：东北财经大学出版社,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4,7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1F3A67B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Dk3NmRlZDVjZmIwYjg3NGZiOWU4YjJmNTc4Y2U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3D802AF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485BC2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3304BD"/>
    <w:rsid w:val="4D54723A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010FB7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9F4577"/>
    <w:rsid w:val="6FC85609"/>
    <w:rsid w:val="6FDD1384"/>
    <w:rsid w:val="6FEF5A3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autoRedefine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autoRedefine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autoRedefine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6</Pages>
  <Words>2269</Words>
  <Characters>2364</Characters>
  <Lines>10</Lines>
  <Paragraphs>2</Paragraphs>
  <TotalTime>3</TotalTime>
  <ScaleCrop>false</ScaleCrop>
  <LinksUpToDate>false</LinksUpToDate>
  <CharactersWithSpaces>2372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81DDE279E2324291A06A0FD2409B45C4_13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